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3E60" w14:textId="77777777" w:rsidR="00AE280C" w:rsidRDefault="00AE280C" w:rsidP="00AE2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419"/>
        </w:rPr>
      </w:pPr>
      <w:r w:rsidRPr="0033525E">
        <w:rPr>
          <w:rFonts w:ascii="Arial" w:eastAsia="Times New Roman" w:hAnsi="Arial" w:cs="Arial"/>
          <w:b/>
          <w:bCs/>
          <w:color w:val="222222"/>
          <w:sz w:val="24"/>
          <w:szCs w:val="24"/>
          <w:lang w:val="es-419"/>
        </w:rPr>
        <w:t>Consenso de Cirugía de C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419"/>
        </w:rPr>
        <w:t>ontrol de Daños</w:t>
      </w:r>
    </w:p>
    <w:p w14:paraId="3E07E495" w14:textId="77777777" w:rsidR="00AE280C" w:rsidRDefault="00AE280C" w:rsidP="00AE2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419"/>
        </w:rPr>
      </w:pPr>
    </w:p>
    <w:p w14:paraId="4FD8FDB2" w14:textId="77777777" w:rsidR="00AE280C" w:rsidRDefault="00AE280C" w:rsidP="00AE2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419"/>
        </w:rPr>
      </w:pPr>
    </w:p>
    <w:p w14:paraId="52898023" w14:textId="77777777" w:rsidR="00AE280C" w:rsidRPr="0033525E" w:rsidRDefault="00AE280C" w:rsidP="00AE2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419"/>
        </w:rPr>
        <w:t xml:space="preserve">El consenso de cirugía de control de daños sintetiza la experiencia de los últimos 30 años por el Grupo de Cirugía de Trauma y Emergencias (CTE) de Cali-Colombia, en colaboración con la Sociedad Panamericana de Trauma y la Asociación Colombiana de Cirugía, en conjunto con especialistas internacionales de Estados Unidos, Europa, Japón, Suráfrica y Latinoamérica. </w:t>
      </w:r>
    </w:p>
    <w:p w14:paraId="00059CD4" w14:textId="77777777" w:rsidR="00AE280C" w:rsidRDefault="00AE280C" w:rsidP="00AE2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419"/>
        </w:rPr>
      </w:pPr>
    </w:p>
    <w:p w14:paraId="725E29E2" w14:textId="77777777" w:rsidR="00AE280C" w:rsidRPr="0033525E" w:rsidRDefault="00AE280C" w:rsidP="00AE2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419"/>
        </w:rPr>
      </w:pPr>
    </w:p>
    <w:p w14:paraId="2179BE23" w14:textId="77777777" w:rsidR="00AE280C" w:rsidRPr="0033525E" w:rsidRDefault="00AE280C" w:rsidP="00AE28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419"/>
        </w:rPr>
      </w:pPr>
    </w:p>
    <w:p w14:paraId="56800FDE" w14:textId="77777777" w:rsidR="00AE280C" w:rsidRPr="0033525E" w:rsidRDefault="00AE280C" w:rsidP="00AE2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b/>
          <w:bCs/>
          <w:color w:val="222222"/>
          <w:sz w:val="24"/>
          <w:szCs w:val="24"/>
        </w:rPr>
        <w:t>Editorial:</w:t>
      </w:r>
    </w:p>
    <w:p w14:paraId="09ED989C" w14:textId="77777777" w:rsidR="00AE280C" w:rsidRDefault="00AE280C" w:rsidP="00AE2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color w:val="222222"/>
          <w:sz w:val="24"/>
          <w:szCs w:val="24"/>
        </w:rPr>
        <w:t>Damage control surgery: a constant evolution:</w:t>
      </w:r>
    </w:p>
    <w:p w14:paraId="7B044DCB" w14:textId="77777777" w:rsidR="00AE280C" w:rsidRPr="0033525E" w:rsidRDefault="00AE280C" w:rsidP="00AE280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33525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https://pubmed.ncbi.nlm.nih.gov/33795895/</w:t>
        </w:r>
      </w:hyperlink>
    </w:p>
    <w:p w14:paraId="6F295CA1" w14:textId="77777777" w:rsidR="00AE280C" w:rsidRPr="0033525E" w:rsidRDefault="00AE280C" w:rsidP="00AE2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</w:p>
    <w:p w14:paraId="20D37E4E" w14:textId="77777777" w:rsidR="00AE280C" w:rsidRPr="0033525E" w:rsidRDefault="00AE280C" w:rsidP="00AE2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b/>
          <w:bCs/>
          <w:color w:val="222222"/>
          <w:sz w:val="24"/>
          <w:szCs w:val="24"/>
        </w:rPr>
        <w:t>Articles:</w:t>
      </w:r>
    </w:p>
    <w:p w14:paraId="6CA14CE0" w14:textId="77777777" w:rsidR="00AE280C" w:rsidRDefault="00AE280C" w:rsidP="00AE280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color w:val="222222"/>
          <w:sz w:val="24"/>
          <w:szCs w:val="24"/>
        </w:rPr>
        <w:t>Damage control resuscitation: REBOA as the new fourth pillar: </w:t>
      </w:r>
    </w:p>
    <w:p w14:paraId="030F25B7" w14:textId="77777777" w:rsidR="00AE280C" w:rsidRPr="0033525E" w:rsidRDefault="00AE280C" w:rsidP="00AE280C">
      <w:pPr>
        <w:pStyle w:val="ListParagraph"/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https://pubmed.ncbi.nlm.nih.gov/33795897/</w:t>
        </w:r>
      </w:hyperlink>
    </w:p>
    <w:p w14:paraId="7726862A" w14:textId="77777777" w:rsidR="00AE280C" w:rsidRDefault="00AE280C" w:rsidP="00AE280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color w:val="222222"/>
          <w:sz w:val="24"/>
          <w:szCs w:val="24"/>
        </w:rPr>
        <w:t>Prehospital Damage Control: The Management of Volume, Temperature… and Bleeding! </w:t>
      </w:r>
    </w:p>
    <w:p w14:paraId="1BF5EB4E" w14:textId="77777777" w:rsidR="00AE280C" w:rsidRDefault="00AE280C" w:rsidP="00AE280C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7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https://pubmed.ncbi.nlm.nih.gov/33795898/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3.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Whole blood for blood loss: hemostatic resuscitation in damage control: </w:t>
      </w:r>
    </w:p>
    <w:p w14:paraId="4450C50F" w14:textId="77777777" w:rsidR="00AE280C" w:rsidRDefault="00AE280C" w:rsidP="00AE280C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8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https://pubmed.ncbi.nlm.nih.gov/33795899/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4.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 xml:space="preserve">Whole-body computed tomography is safe, effective and efficient in the severely injured hemodynamically unstable trauma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atient</w:t>
      </w:r>
      <w:proofErr w:type="gramEnd"/>
      <w:r w:rsidRPr="0033525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9A4B35A" w14:textId="77777777" w:rsidR="00AE280C" w:rsidRDefault="00AE280C" w:rsidP="00AE280C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9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https://pubmed.ncbi.nlm.nih.gov/33795900/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5.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 xml:space="preserve">REBOA as a New Damage Control Component in Hemodynamically Unstable Noncompressible Torso Hemorrhage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atients </w:t>
      </w:r>
    </w:p>
    <w:p w14:paraId="6E817AE7" w14:textId="77777777" w:rsidR="00AE280C" w:rsidRDefault="00AE280C" w:rsidP="00AE280C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10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https://pubmed.ncbi.nlm.nih.gov/33795901/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6.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 xml:space="preserve">Damage control of laryngotracheal trauma: the golden 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ay </w:t>
      </w:r>
    </w:p>
    <w:p w14:paraId="7854EFBE" w14:textId="77777777" w:rsidR="00AE280C" w:rsidRDefault="00AE280C" w:rsidP="00AE280C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11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https://pubmed.ncbi.nlm.nih.gov/33795902/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7.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 xml:space="preserve">Pancreatic damage control: the pancreas is simple don't complicate </w:t>
      </w:r>
      <w:proofErr w:type="gramStart"/>
      <w:r w:rsidRPr="0033525E">
        <w:rPr>
          <w:rFonts w:ascii="Arial" w:eastAsia="Times New Roman" w:hAnsi="Arial" w:cs="Arial"/>
          <w:color w:val="222222"/>
          <w:sz w:val="24"/>
          <w:szCs w:val="24"/>
        </w:rPr>
        <w:t>it</w:t>
      </w:r>
      <w:proofErr w:type="gramEnd"/>
    </w:p>
    <w:p w14:paraId="6D7E47BA" w14:textId="77777777" w:rsidR="00AE280C" w:rsidRDefault="00AE280C" w:rsidP="00AE280C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2" w:tgtFrame="_blank" w:history="1">
        <w:r w:rsidRPr="0033525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https://pubmed.ncbi.nlm.nih.gov/33795904/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8.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Damage Control in Penetrating Liver Trauma: Fear of the Unknown </w:t>
      </w:r>
    </w:p>
    <w:p w14:paraId="2092A694" w14:textId="77777777" w:rsidR="00AE280C" w:rsidRDefault="00AE280C" w:rsidP="00AE280C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13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https://pubmed.ncbi.nlm.nih.gov/33795903/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9.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Hemodynamically unstable pelvic fracture: A damage control surgical algorithm that fits your reality: </w:t>
      </w:r>
    </w:p>
    <w:p w14:paraId="350D46EB" w14:textId="77777777" w:rsidR="00AE280C" w:rsidRPr="0033525E" w:rsidRDefault="00AE280C" w:rsidP="00AE280C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14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https://pubmed.ncbi.nlm.nih.gov/33795905/</w:t>
        </w:r>
      </w:hyperlink>
    </w:p>
    <w:p w14:paraId="040A7390" w14:textId="77777777" w:rsidR="003F6BAE" w:rsidRDefault="003F6BAE">
      <w:pPr>
        <w:ind w:firstLine="110"/>
      </w:pPr>
    </w:p>
    <w:sectPr w:rsidR="003F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216"/>
    <w:multiLevelType w:val="hybridMultilevel"/>
    <w:tmpl w:val="C986AB16"/>
    <w:lvl w:ilvl="0" w:tplc="160C32C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0C"/>
    <w:rsid w:val="003F6BAE"/>
    <w:rsid w:val="00A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F945"/>
  <w15:chartTrackingRefBased/>
  <w15:docId w15:val="{0BF9A707-9E5A-4C08-9D94-54F8920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0C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795899/" TargetMode="External"/><Relationship Id="rId13" Type="http://schemas.openxmlformats.org/officeDocument/2006/relationships/hyperlink" Target="https://pubmed.ncbi.nlm.nih.gov/337959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3795898/" TargetMode="External"/><Relationship Id="rId12" Type="http://schemas.openxmlformats.org/officeDocument/2006/relationships/hyperlink" Target="https://pubmed.ncbi.nlm.nih.gov/3379590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3795897/" TargetMode="External"/><Relationship Id="rId11" Type="http://schemas.openxmlformats.org/officeDocument/2006/relationships/hyperlink" Target="https://pubmed.ncbi.nlm.nih.gov/33795902/" TargetMode="External"/><Relationship Id="rId5" Type="http://schemas.openxmlformats.org/officeDocument/2006/relationships/hyperlink" Target="https://pubmed.ncbi.nlm.nih.gov/3379589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337959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795900/" TargetMode="External"/><Relationship Id="rId14" Type="http://schemas.openxmlformats.org/officeDocument/2006/relationships/hyperlink" Target="https://pubmed.ncbi.nlm.nih.gov/337959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</dc:creator>
  <cp:keywords/>
  <dc:description/>
  <cp:lastModifiedBy>Scarlet</cp:lastModifiedBy>
  <cp:revision>1</cp:revision>
  <dcterms:created xsi:type="dcterms:W3CDTF">2021-04-15T17:58:00Z</dcterms:created>
  <dcterms:modified xsi:type="dcterms:W3CDTF">2021-04-15T17:59:00Z</dcterms:modified>
</cp:coreProperties>
</file>